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grudnia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uchwalenia miejscowego planu zagospodarowania przestrzennego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obszaru położonego przy ul. Energetycznej w środkowo-wschodniej części obrębu Małuszów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LII/1040/2024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przy ul. Energetycznej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środkowo-wschodniej części obrębu Małuszów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 obszaru położonego przy ul. Energetycznej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środkowo-wschodniej części obrębu Małuszów, zwany dalej planem miejscowym obejmującym część obszaru,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LII/1040/2024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 rozgraniczająca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obejmują: stacji paliw płynnych, stacji gazowych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stacji redukcyjnych gazu wysokiego ciśnienia oraz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ustaleń dla całego obszaru planu miejscowego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ustaleń szczegółowych niniejszej uchwały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miejscowego rodzajów budowli naziemnych; nieprzekraczalne linie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obowiązują: budynków obiektów dozoru (portierni), budynków stacji transformatorowych, budynków stacji redukcyjnych gazu, zbiorników retencyjnych, tablic informacyjnych, zabudowy śmietników oraz innych obiektów infrastruktury technicznej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komunikacyjnej;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pokrycia panelami fotowoltaicznymi produkującymi energię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słonecznej - należy przez to rozumieć sumę powierzchni wszystkich paneli fotowoltaicznych mierzona po zewnętrznym wymiarze ramy panelu wrzucie poziomym; do tej powierzchni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 się powierzchni paneli fotowoltaicznych zlokalizowanych na ścianach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–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obiekty związane ze sprzedażą hurtową towarów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–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urządzaniami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- należy przez to rozumieć budynki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przemysłowej - tereny przeznaczone pod lokalizację przedsiębiorstw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zakładów produkcyjnych, przetwórstwa rolno – spożywczego, rzemiosła produkcyjnego, drobnej wytwórczości,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energii elektrowni słonecznej - tereny przeznaczone pod produkcję energii - elektrownie fotowoltaiczne - ze źródeł odnawialnych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produkcji energii wytwarzanej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wiatrowych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-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przewozem, magazynowaniem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spedycją,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produktów, obiekty służące do przeładunku towarów, składowania, sortowania, konfekcjonowania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kompleks obiektów do przechowywania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konserwacji pojazdów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obsługi, naprawy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wynajmu pojazdów mechanicznych,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stacje paliw;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 - należy przez to rozumieć tereny rolnicze przeznaczone pod lokalizację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 rolnych, hodowlanych, sadowniczych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ogrodniczych,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niezbędnymi urządzeniami budowlanymi służącymi do obsługi produkcji rolnej;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 zakazuje się prowadzenia działalności związanej z: hotelami robotniczymi, demontażem pojazdów, gospodarowaniem odpadami, punktów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objęty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znajduje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Głównego Zbiornika Wód Powierzchniowych (GZWP) nr 319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Subzbiornik Prochowice – Środa Śląska.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działek: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szerokość frontu działek: 10m;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realizację i/lub się wydzielenie niezbędnych działek dla dróg wewnętrznych.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szerokość pasa ruchu: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dróg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dwoma pasami ruchu – 3m,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dróg jednokierunkowych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jednym pasem ruchu – 4m,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osobowych: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przemysłowej, 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magazynów,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stanowiska pracy,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usług handlu powyżej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-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do parkowania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 -nie 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dla działalności prowadzonej na powierzchni całkowitej 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energii elektrowni słonecznej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budynków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energii elektrowni słonecznej,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usług,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usług handlu do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powyżej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usług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ciężarowych: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przemysłowej, 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oraz usług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handlu hurtowego: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usług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handlu detalicznego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dla usług lub produkcji prowadzonych na powierzchni całkowitej do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ogrodniczych: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dla działalności prowadzonej na powierzchni całkowitej do 200m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ilości miejsc do parkowania wlicza się także miejsca dokowania samochodów ciężarowych przy budynkach;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wymaganej liczby miejsc parkingowych zalicza się również miejsca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garażach lub wiatach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należy realizować jako utwardzone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wlicza się do bilansu miejsc parkingowych.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planem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 poprzez istniejące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drogami publicznymi wyższej kategorii.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oraz ograniczenia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 zabudowy,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obiektów budowlanych przeznaczonych na stały pobyt ludzi od istniejącej napowietrznej linii elektroenergetycznej 110kV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po 11m od osi linii,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pas technologiczny (po 11m od osi linii) od napowietrznej linii elektroenergetycznej wysokiego napięcia,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którego obowiązują: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sadzenia zieleni wysokiej,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dostępu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dojazdu,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ciężkim sprzętem, do linii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słupów,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odrębne.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lub produkcji lub produkcji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 oznaczony na rysunku planu miejscowego symbolem 1U-P-RZP,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usługi handlu hurtowego, usługi rzemieślnicze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niepubliczne usługi edukacji, usługi nauki,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turystyki, usług kultu religijnego,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(produkcja przemysłowa, składy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magazyny)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przemysłu portowego oraz produkcji energii wiatrowej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gospodarstwach rolnych, hodowlanych, ogrodniczych;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lokalizacja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przekraczającej 500kW – elektrownie fotowoltaiczne wraz ze strefą ochronną; granica strefy ochronnej tożsama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liniami rozgraniczającymi terenu,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zbiorników wodnych;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działek obiektów hodowlanych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obsadzie większej niż: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koni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źrebaków – 1,2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krów, buhajów, jałówek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cieląt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kóz, jeleni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danieli – 1,5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knurów, macior, warchlaków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prosiąt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Duże Jednostki Przeliczeniowe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tryków, owiec, jagniąt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jarlaków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Dużą Jednostkę Przeliczeniową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lisów, jenotów, norek, tchórzy, nutrii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szynszyli – 0,1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kur, kaczek, gęsi, indyków, strusi, perlic, przepiórek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gołębi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psów – 0,5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królików – 0,2 Dużej Jednostki Przeliczeniowej (DJP);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wyżej zwierząt – 0,1 Dużej Jednostki Przeliczeniowej (DJP).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produkcyjnej ustala się na: 30m;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dla budowli: 60m;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2,0;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pokrycia panelami fotowoltaicznymi sytuowanymi na gruncie: maksymalnie 49% powierzchni działki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1500m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dojazdowej, oznaczony na rysunku planu miejscowego symbolem 1KDD, dla którego ustala się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1130)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położonego przy ul. Energetycznej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środkowo-wschodniej części obrębu Małuszów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480" w:afterAutospacing="0" w:line="240" w:lineRule="auto"/>
        <w:ind w:left="0" w:right="0" w:firstLine="0"/>
        <w:contextualSpacing w:val="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miejscowego planu zagospodarowania przestrzennego</w:t>
        <w:br/>
        <w:t>obszaru położonego przy ul. Energetycznej w środkowo-wschodniej części obrębu Małuszów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113"/>
        <w:contextualSpacing w:val="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Projekt miejscowego planu zagospodarowania przestrzennego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obszaru położonego przy ul. Energetycznej w środkowo-wschodniej części obrębu Małuszów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sporządzony został na podstawie uchwały nr </w:t>
      </w:r>
      <w:r>
        <w:rPr>
          <w:color w:val="000000"/>
          <w:szCs w:val="20"/>
          <w:shd w:val="clear" w:color="auto" w:fill="FFFFFF"/>
          <w:lang w:val="x-none" w:eastAsia="en-US" w:bidi="ar-SA"/>
        </w:rPr>
        <w:t>LII/1040/2024 Rady Gminy Kobierzyce z dnia 23 lutego 2024 r.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113"/>
        <w:contextualSpacing w:val="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Celem przystąpienia do sporządzenia miejscowego planu zagospodarowania obszaru położonego przy ul. Energetycznej w środkowo-wschodniej części obrębu Małuszów jest ustalenie w nowym planie miejscowym terenów produkcji w gospodarstwach rolnych, hodowlanych i ogrodniczych [RZP]. Ponadto uchwalenie planu ma za zadanie: wprowadzić ład przestrzenny i zrównoważony rozwój w Gminie Kobierzyce; chronić wartości architektoniczne i krajobrazowe; chronić środowisko przyrodnicze i kulturowe; zapewnić ciągłość wydawania decyzji administracyjnych w szczególności liniowych (wodociągi, gazociągi, kanalizacja sanitarna, linie energetyczne, itp.) dla przedmiotowych obszarów; pozwolić uporządkować przestrzeń po przez wprowadzenie określonych funkcji.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Projekt planu, nie narusza ustaleń obowiązującego „Studium uwarunkowań i kierunków zagospodarowania przestrzennego gminy Kobierzyce”, uchwalonego przez Radę Gminy Kobierzyce uchwałą nr XXI/413/2020 z dnia 21 sierpnia 2020 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Zgodnie z wymogami art. 17 ustawy zapewniono udziału społeczeństwa w pracach nad miejscowym planem zagospodarowania przestrzennego: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567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567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granic i sposobu zagospodarowania terenów górniczych.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firstLine="34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>W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obszaru położonego przy ul. Energetycznej w środkowo-wschodniej części obrębu Małuszów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8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CC5E5535-03BE-4E94-82B2-A95595554972.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CC5E5535-03BE-4E94-82B2-A95595554972.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CC5E5535-03BE-4E94-82B2-A95595554972.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CC5E5535-03BE-4E94-82B2-A95595554972.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CC5E5535-03BE-4E94-82B2-A95595554972.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uchwalenia miejscowego planu zagospodarowania przestrzennego
obszaru położonego przy ul. Energetycznej w^środkowo-wschodniej części obrębu Małuszów</dc:subject>
  <dc:creator>angel</dc:creator>
  <cp:lastModifiedBy>angel</cp:lastModifiedBy>
  <cp:revision>1</cp:revision>
  <dcterms:created xsi:type="dcterms:W3CDTF">2024-12-18T23:18:24Z</dcterms:created>
  <dcterms:modified xsi:type="dcterms:W3CDTF">2024-12-18T23:18:24Z</dcterms:modified>
  <cp:category>Akt prawny</cp:category>
</cp:coreProperties>
</file>